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C93FF5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C93FF5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7631C" w:rsidRPr="00F90690">
        <w:t>oddechowych</w:t>
      </w:r>
      <w:r w:rsidRPr="00F90690">
        <w:t>.W drodze do</w:t>
      </w:r>
      <w:r w:rsidR="00A621B5" w:rsidRPr="00F90690">
        <w:t xml:space="preserve"> i ze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opiekunowiepowinni przestrzegać obowiązujących przepisów prawa związanych z bezpieczeństwem zdrowotnym obywateli(m.in.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 w:rsidRPr="00E329CD">
        <w:t>osób z zewnątrz do niezbędnego minimum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291D58" w:rsidRPr="00F90690">
        <w:t>rekomenduje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="00822C38">
        <w:t>wspólne (korytarze)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 xml:space="preserve">udostępnićuczniom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dezynfekcjipowierzchni dotykowych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 xml:space="preserve">odbać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 xml:space="preserve">uczniowie i pracownicyużywają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 xml:space="preserve">, w których nie jest możliwe zapewnienie właściwych warunków mycia naczyńi </w:t>
      </w:r>
      <w:r w:rsidR="00AD04AC">
        <w:rPr>
          <w:lang w:bidi="pl-PL"/>
        </w:rPr>
        <w:t>sztućców,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 xml:space="preserve">,uwzględniający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 xml:space="preserve">W bursie/internacie mogą przebywać jedynie wychowankowie bez objawów chorobowychdróg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 xml:space="preserve"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 xml:space="preserve">, abyodbyć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C93FF5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C93FF5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C93FF5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C9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79E" w:rsidRDefault="001C279E" w:rsidP="00143D7D">
      <w:pPr>
        <w:spacing w:after="0" w:line="240" w:lineRule="auto"/>
      </w:pPr>
      <w:r>
        <w:separator/>
      </w:r>
    </w:p>
  </w:endnote>
  <w:endnote w:type="continuationSeparator" w:id="1">
    <w:p w:rsidR="001C279E" w:rsidRDefault="001C279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79E" w:rsidRDefault="001C279E" w:rsidP="00143D7D">
      <w:pPr>
        <w:spacing w:after="0" w:line="240" w:lineRule="auto"/>
      </w:pPr>
      <w:r>
        <w:separator/>
      </w:r>
    </w:p>
  </w:footnote>
  <w:footnote w:type="continuationSeparator" w:id="1">
    <w:p w:rsidR="001C279E" w:rsidRDefault="001C279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279E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76B10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4F90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3FF5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35B87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F5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2817-43E7-4EBD-843C-B3737AC6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2902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acer</cp:lastModifiedBy>
  <cp:revision>2</cp:revision>
  <cp:lastPrinted>2020-08-05T09:00:00Z</cp:lastPrinted>
  <dcterms:created xsi:type="dcterms:W3CDTF">2020-08-28T13:00:00Z</dcterms:created>
  <dcterms:modified xsi:type="dcterms:W3CDTF">2020-08-28T13:00:00Z</dcterms:modified>
</cp:coreProperties>
</file>